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127"/>
        <w:tblW w:w="5696" w:type="pct"/>
        <w:tblLayout w:type="fixed"/>
        <w:tblLook w:val="04A0" w:firstRow="1" w:lastRow="0" w:firstColumn="1" w:lastColumn="0" w:noHBand="0" w:noVBand="1"/>
      </w:tblPr>
      <w:tblGrid>
        <w:gridCol w:w="2169"/>
        <w:gridCol w:w="2634"/>
        <w:gridCol w:w="330"/>
        <w:gridCol w:w="2238"/>
        <w:gridCol w:w="111"/>
        <w:gridCol w:w="2832"/>
      </w:tblGrid>
      <w:tr w:rsidR="00AD6C31" w:rsidRPr="00705AC0" w:rsidTr="00B95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3053DF" w:rsidRDefault="00AD6C31" w:rsidP="00A64C79">
            <w:pPr>
              <w:rPr>
                <w:rFonts w:ascii="Verdana" w:hAnsi="Verdana"/>
                <w:szCs w:val="24"/>
                <w:lang w:val="es-ES"/>
              </w:rPr>
            </w:pPr>
            <w:r w:rsidRPr="003053DF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A64C79" w:rsidRPr="00F960F6" w:rsidRDefault="00A64C79" w:rsidP="00A64C79">
            <w:pPr>
              <w:rPr>
                <w:rFonts w:ascii="Verdana" w:hAnsi="Verdana"/>
                <w:szCs w:val="24"/>
                <w:lang w:val="es-ES"/>
              </w:rPr>
            </w:pPr>
          </w:p>
          <w:p w:rsidR="00A64C79" w:rsidRPr="003053DF" w:rsidRDefault="00A64C79" w:rsidP="00B21A4E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B21A4E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437" w:type="pct"/>
            <w:gridSpan w:val="2"/>
          </w:tcPr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9924D6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Nº veces el PIB español</w:t>
            </w:r>
          </w:p>
        </w:tc>
        <w:tc>
          <w:tcPr>
            <w:tcW w:w="1085" w:type="pct"/>
          </w:tcPr>
          <w:p w:rsidR="003E17B2" w:rsidRDefault="00B21A4E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105</w:t>
            </w:r>
            <w:r w:rsidR="00E12303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173</w:t>
            </w:r>
            <w:r w:rsidR="00E12303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E12303" w:rsidRPr="00E12303">
              <w:rPr>
                <w:rFonts w:ascii="Verdana" w:hAnsi="Verdana"/>
                <w:sz w:val="20"/>
                <w:szCs w:val="20"/>
                <w:lang w:val="es-ES"/>
              </w:rPr>
              <w:t xml:space="preserve">090 </w:t>
            </w:r>
          </w:p>
          <w:p w:rsidR="00E12303" w:rsidRDefault="00E12303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B667C" w:rsidRDefault="00E12303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12303">
              <w:rPr>
                <w:rFonts w:ascii="Verdana" w:hAnsi="Verdana"/>
                <w:sz w:val="20"/>
                <w:szCs w:val="20"/>
                <w:lang w:val="es-E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E12303">
              <w:rPr>
                <w:rFonts w:ascii="Verdana" w:hAnsi="Verdana"/>
                <w:sz w:val="20"/>
                <w:szCs w:val="20"/>
                <w:lang w:val="es-ES"/>
              </w:rPr>
              <w:t>651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E12303">
              <w:rPr>
                <w:rFonts w:ascii="Verdana" w:hAnsi="Verdana"/>
                <w:sz w:val="20"/>
                <w:szCs w:val="20"/>
                <w:lang w:val="es-ES"/>
              </w:rPr>
              <w:t xml:space="preserve">466 </w:t>
            </w:r>
          </w:p>
          <w:p w:rsidR="00E12303" w:rsidRDefault="00E12303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E17B2" w:rsidRDefault="003E17B2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Pr="00E06A9A" w:rsidRDefault="00AD6C31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B21A4E">
              <w:rPr>
                <w:rFonts w:ascii="Verdana" w:hAnsi="Verdana"/>
                <w:sz w:val="20"/>
                <w:szCs w:val="20"/>
                <w:lang w:val="es-ES"/>
              </w:rPr>
              <w:t>8</w:t>
            </w:r>
            <w:r w:rsidR="00E12303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B21A4E">
              <w:rPr>
                <w:rFonts w:ascii="Verdana" w:hAnsi="Verdana"/>
                <w:sz w:val="20"/>
                <w:szCs w:val="20"/>
                <w:lang w:val="es-ES"/>
              </w:rPr>
              <w:t>361</w:t>
            </w:r>
          </w:p>
          <w:p w:rsidR="00AD6C31" w:rsidRPr="00E06A9A" w:rsidRDefault="00E12303" w:rsidP="00B21A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</w:t>
            </w:r>
            <w:r w:rsidR="00B21A4E">
              <w:rPr>
                <w:rFonts w:ascii="Verdana" w:hAnsi="Verdana"/>
                <w:sz w:val="20"/>
                <w:szCs w:val="20"/>
                <w:lang w:val="es-ES"/>
              </w:rPr>
              <w:t>30</w:t>
            </w:r>
          </w:p>
        </w:tc>
        <w:tc>
          <w:tcPr>
            <w:tcW w:w="1427" w:type="pct"/>
            <w:gridSpan w:val="2"/>
            <w:vAlign w:val="center"/>
          </w:tcPr>
          <w:p w:rsidR="00AD6C31" w:rsidRPr="00E06A9A" w:rsidRDefault="00902D52" w:rsidP="00BE4B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598936" cy="1108670"/>
                  <wp:effectExtent l="0" t="0" r="127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68" b="8000"/>
                          <a:stretch/>
                        </pic:blipFill>
                        <pic:spPr bwMode="auto">
                          <a:xfrm>
                            <a:off x="0" y="0"/>
                            <a:ext cx="1602935" cy="111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1" w:rsidRPr="001C134F" w:rsidTr="0092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49" w:type="pct"/>
            <w:gridSpan w:val="5"/>
          </w:tcPr>
          <w:p w:rsidR="00AD6C31" w:rsidRPr="00910BA5" w:rsidRDefault="00910BA5" w:rsidP="00A5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10BA5">
              <w:rPr>
                <w:rFonts w:ascii="Verdana" w:hAnsi="Verdana"/>
                <w:sz w:val="20"/>
                <w:szCs w:val="20"/>
                <w:lang w:val="es-ES"/>
              </w:rPr>
              <w:t xml:space="preserve">Según datos de la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Commission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on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Higher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Education</w:t>
            </w:r>
            <w:proofErr w:type="spellEnd"/>
            <w:r w:rsidRPr="00910BA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A515F8">
              <w:rPr>
                <w:rFonts w:ascii="Verdana" w:hAnsi="Verdana"/>
                <w:b/>
                <w:sz w:val="20"/>
                <w:szCs w:val="20"/>
                <w:lang w:val="es-ES"/>
              </w:rPr>
              <w:t>en Filipinas hay 1.573 instituciones privadas de educación superior y 607 universidades públicas que se dividen en estatales y locales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University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Philippines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Pamantasan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ng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Lungsod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ng</w:t>
            </w:r>
            <w:proofErr w:type="spellEnd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i/>
                <w:sz w:val="20"/>
                <w:szCs w:val="20"/>
                <w:lang w:val="es-ES"/>
              </w:rPr>
              <w:t>Maynila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son las más representativas entre ambas.</w:t>
            </w:r>
            <w:r w:rsidR="00384321">
              <w:rPr>
                <w:rFonts w:ascii="Verdana" w:hAnsi="Verdana"/>
                <w:sz w:val="20"/>
                <w:szCs w:val="20"/>
                <w:lang w:val="es-ES"/>
              </w:rPr>
              <w:t xml:space="preserve"> El sistema de titulaciones y evaluación es heredero en gran parte del norteamericano</w:t>
            </w:r>
            <w:r w:rsidR="00A515F8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A515F8" w:rsidRPr="00A515F8">
              <w:rPr>
                <w:rFonts w:ascii="Verdana" w:hAnsi="Verdana"/>
                <w:b/>
                <w:sz w:val="20"/>
                <w:szCs w:val="20"/>
                <w:lang w:val="es-ES"/>
              </w:rPr>
              <w:t>hasta 1987 la enseñanza se realizaba exclusivamente en inglés.</w:t>
            </w:r>
          </w:p>
        </w:tc>
      </w:tr>
      <w:tr w:rsidR="00AD6C31" w:rsidRPr="00F4331F" w:rsidTr="00924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49" w:type="pct"/>
            <w:gridSpan w:val="5"/>
          </w:tcPr>
          <w:p w:rsidR="00384321" w:rsidRPr="000A70D0" w:rsidRDefault="00384321" w:rsidP="00384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>Associate’s Degree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2</w:t>
            </w:r>
            <w:r w:rsidR="00A515F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515F8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  <w:r w:rsidR="00A515F8">
              <w:rPr>
                <w:rFonts w:ascii="Verdana" w:hAnsi="Verdana"/>
                <w:sz w:val="20"/>
                <w:szCs w:val="20"/>
                <w:lang w:val="en-US"/>
              </w:rPr>
              <w:t xml:space="preserve"> 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 credit hours</w:t>
            </w:r>
          </w:p>
          <w:p w:rsidR="00384321" w:rsidRPr="000A70D0" w:rsidRDefault="00384321" w:rsidP="00384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>Bachelor’s Degree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4</w:t>
            </w:r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  <w:r w:rsidR="00A515F8">
              <w:rPr>
                <w:rFonts w:ascii="Verdana" w:hAnsi="Verdana"/>
                <w:sz w:val="20"/>
                <w:szCs w:val="20"/>
                <w:lang w:val="en-US"/>
              </w:rPr>
              <w:t xml:space="preserve"> 14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 credit hours</w:t>
            </w:r>
          </w:p>
          <w:p w:rsidR="00384321" w:rsidRPr="00353A22" w:rsidRDefault="00384321" w:rsidP="00384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353A22">
              <w:rPr>
                <w:rFonts w:ascii="Verdana" w:hAnsi="Verdana"/>
                <w:sz w:val="20"/>
                <w:szCs w:val="20"/>
                <w:lang w:val="es-ES"/>
              </w:rPr>
              <w:t>Master’s</w:t>
            </w:r>
            <w:proofErr w:type="spellEnd"/>
            <w:r w:rsidRPr="00353A2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53A22">
              <w:rPr>
                <w:rFonts w:ascii="Verdana" w:hAnsi="Verdana"/>
                <w:sz w:val="20"/>
                <w:szCs w:val="20"/>
                <w:lang w:val="es-ES"/>
              </w:rPr>
              <w:t>Degree</w:t>
            </w:r>
            <w:proofErr w:type="spellEnd"/>
            <w:r w:rsidRPr="00353A22">
              <w:rPr>
                <w:rFonts w:ascii="Verdana" w:hAnsi="Verdana"/>
                <w:sz w:val="20"/>
                <w:szCs w:val="20"/>
                <w:lang w:val="es-ES"/>
              </w:rPr>
              <w:t>, 2 años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60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credit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hours</w:t>
            </w:r>
            <w:proofErr w:type="spellEnd"/>
          </w:p>
          <w:p w:rsidR="00427C8F" w:rsidRPr="00427C8F" w:rsidRDefault="00384321" w:rsidP="00384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Doctorat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3 años</w:t>
            </w:r>
          </w:p>
        </w:tc>
      </w:tr>
      <w:tr w:rsidR="00A64C79" w:rsidRPr="005F4F36" w:rsidTr="00B9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64C79" w:rsidRPr="00E06A9A" w:rsidRDefault="00A64C79" w:rsidP="00A64C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A64C79" w:rsidRPr="00E06A9A" w:rsidRDefault="00A64C79" w:rsidP="00A64C79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77" w:type="pct"/>
          </w:tcPr>
          <w:p w:rsidR="00E2698D" w:rsidRPr="00F4331F" w:rsidRDefault="00E2698D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ARWU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Jiao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Tong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2018</w:t>
            </w:r>
          </w:p>
          <w:p w:rsidR="00A64C79" w:rsidRPr="00F4331F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3053DF" w:rsidRPr="00F4331F" w:rsidRDefault="00F4331F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F4331F">
              <w:rPr>
                <w:rFonts w:ascii="Verdana" w:hAnsi="Verdana"/>
                <w:sz w:val="16"/>
                <w:szCs w:val="16"/>
                <w:lang w:val="es-ES"/>
              </w:rPr>
              <w:t>Sin representaci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ón</w:t>
            </w:r>
          </w:p>
        </w:tc>
        <w:tc>
          <w:tcPr>
            <w:tcW w:w="1299" w:type="pct"/>
            <w:gridSpan w:val="3"/>
          </w:tcPr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1785B">
              <w:rPr>
                <w:rFonts w:ascii="Verdana" w:hAnsi="Verdana"/>
                <w:sz w:val="20"/>
                <w:lang w:val="en-US"/>
              </w:rPr>
              <w:t>T</w:t>
            </w:r>
            <w:r w:rsidR="00E2698D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A64C79" w:rsidRDefault="00A64C79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F4F36" w:rsidRDefault="00E2698D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501-600 University of Philippines</w:t>
            </w:r>
          </w:p>
          <w:p w:rsidR="00E2698D" w:rsidRPr="0031785B" w:rsidRDefault="00E2698D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 De la Salle University</w:t>
            </w:r>
          </w:p>
        </w:tc>
        <w:tc>
          <w:tcPr>
            <w:tcW w:w="1373" w:type="pct"/>
          </w:tcPr>
          <w:p w:rsidR="00A64C79" w:rsidRPr="0031785B" w:rsidRDefault="00B21A4E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3298C" w:rsidRPr="0073298C" w:rsidRDefault="00E2698D" w:rsidP="0073298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384</w:t>
            </w:r>
            <w:r w:rsidR="0073298C" w:rsidRPr="0073298C"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 xml:space="preserve"> University of the Philippines</w:t>
            </w:r>
          </w:p>
          <w:p w:rsidR="0073298C" w:rsidRPr="00E2698D" w:rsidRDefault="00E2698D" w:rsidP="0073298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 w:rsidRPr="00E2698D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651-700</w:t>
            </w:r>
            <w:r w:rsidR="0073298C" w:rsidRPr="00E2698D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</w:t>
            </w:r>
            <w:proofErr w:type="spellStart"/>
            <w:r w:rsidR="0073298C" w:rsidRPr="00E2698D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Ateneo</w:t>
            </w:r>
            <w:proofErr w:type="spellEnd"/>
            <w:r w:rsidR="0073298C" w:rsidRPr="00E2698D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de Manila University</w:t>
            </w:r>
          </w:p>
          <w:p w:rsidR="0073298C" w:rsidRPr="0073298C" w:rsidRDefault="00E2698D" w:rsidP="0073298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  <w:t>801-1000</w:t>
            </w:r>
            <w:r w:rsidR="0073298C" w:rsidRPr="0073298C"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  <w:t xml:space="preserve"> De La Salle </w:t>
            </w:r>
            <w:proofErr w:type="spellStart"/>
            <w:r w:rsidR="0073298C" w:rsidRPr="0073298C"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  <w:t>University</w:t>
            </w:r>
            <w:proofErr w:type="spellEnd"/>
          </w:p>
          <w:p w:rsidR="00A64C79" w:rsidRPr="0031785B" w:rsidRDefault="00E2698D" w:rsidP="0073298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  <w:t>801-1000</w:t>
            </w:r>
            <w:r w:rsidR="0073298C" w:rsidRPr="0073298C"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="0073298C" w:rsidRPr="0073298C"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  <w:t>University</w:t>
            </w:r>
            <w:proofErr w:type="spellEnd"/>
            <w:r w:rsidR="0073298C" w:rsidRPr="0073298C"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  <w:t xml:space="preserve"> of Santo Tomas </w:t>
            </w:r>
          </w:p>
        </w:tc>
      </w:tr>
      <w:tr w:rsidR="00E2698D" w:rsidRPr="001C134F" w:rsidTr="00B21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2698D" w:rsidRDefault="00E2698D" w:rsidP="00E2698D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 xml:space="preserve">Rankings Continentales o Nacionales 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3949" w:type="pct"/>
            <w:gridSpan w:val="5"/>
          </w:tcPr>
          <w:p w:rsidR="00E2698D" w:rsidRP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20"/>
                <w:szCs w:val="18"/>
                <w:lang w:val="es-ES"/>
              </w:rPr>
            </w:pPr>
            <w:r w:rsidRPr="00B21A4E">
              <w:rPr>
                <w:rFonts w:ascii="Verdana" w:eastAsiaTheme="majorEastAsia" w:hAnsi="Verdana" w:cstheme="majorBidi"/>
                <w:bCs/>
                <w:sz w:val="20"/>
                <w:szCs w:val="18"/>
                <w:lang w:val="es-ES"/>
              </w:rPr>
              <w:t>QS Asia Ranking 2019</w:t>
            </w:r>
          </w:p>
          <w:p w:rsid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s-ES"/>
              </w:rPr>
            </w:pPr>
          </w:p>
          <w:p w:rsidR="00B21A4E" w:rsidRP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 w:rsidRPr="00B21A4E"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72 University of Philippines</w:t>
            </w:r>
          </w:p>
          <w:p w:rsidR="00B21A4E" w:rsidRP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lang w:val="en-US"/>
              </w:rPr>
            </w:pPr>
            <w:r w:rsidRPr="00B21A4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115 </w:t>
            </w:r>
            <w:proofErr w:type="spellStart"/>
            <w:r w:rsidRPr="00B21A4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Ateneo</w:t>
            </w:r>
            <w:proofErr w:type="spellEnd"/>
            <w:r w:rsidRPr="00B21A4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de Manila University</w:t>
            </w:r>
          </w:p>
          <w:p w:rsid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155 De la Salle University</w:t>
            </w:r>
          </w:p>
          <w:p w:rsid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162 University of Santo Tomas</w:t>
            </w:r>
          </w:p>
          <w:p w:rsid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301-350 University of San Carlos</w:t>
            </w:r>
          </w:p>
          <w:p w:rsidR="00B21A4E" w:rsidRP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lang w:val="en-US"/>
              </w:rPr>
            </w:pPr>
            <w:r w:rsidRPr="00B21A4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401-450 </w:t>
            </w:r>
            <w:proofErr w:type="spellStart"/>
            <w:r w:rsidRPr="00B21A4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Mapúa</w:t>
            </w:r>
            <w:proofErr w:type="spellEnd"/>
            <w:r w:rsidRPr="00B21A4E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University</w:t>
            </w:r>
          </w:p>
          <w:p w:rsidR="00B21A4E" w:rsidRPr="00B21A4E" w:rsidRDefault="00B21A4E" w:rsidP="009429BC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451-500 Silliman University</w:t>
            </w:r>
          </w:p>
        </w:tc>
      </w:tr>
      <w:tr w:rsidR="00AD6C31" w:rsidRPr="001C134F" w:rsidTr="0092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C81D92" w:rsidRDefault="00AD6C31" w:rsidP="00A64C79">
            <w:pPr>
              <w:rPr>
                <w:rFonts w:ascii="Verdana" w:hAnsi="Verdana"/>
                <w:szCs w:val="24"/>
                <w:lang w:val="en"/>
              </w:rPr>
            </w:pPr>
            <w:proofErr w:type="spellStart"/>
            <w:r w:rsidRPr="00C81D92">
              <w:rPr>
                <w:rFonts w:ascii="Verdana" w:hAnsi="Verdana"/>
                <w:szCs w:val="24"/>
                <w:lang w:val="en"/>
              </w:rPr>
              <w:t>Comentarios</w:t>
            </w:r>
            <w:proofErr w:type="spellEnd"/>
          </w:p>
        </w:tc>
        <w:tc>
          <w:tcPr>
            <w:tcW w:w="3949" w:type="pct"/>
            <w:gridSpan w:val="5"/>
          </w:tcPr>
          <w:p w:rsidR="00A64C79" w:rsidRPr="001C134F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A64C79" w:rsidRPr="001C134F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1C134F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A64C79" w:rsidRPr="001C134F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1C134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1C134F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CF60F5" w:rsidRPr="00E34758" w:rsidRDefault="00B21A4E" w:rsidP="0094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Asia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del continente asiático en orden descendiente.</w:t>
            </w:r>
          </w:p>
        </w:tc>
      </w:tr>
      <w:tr w:rsidR="00AD6C31" w:rsidRPr="00705AC0" w:rsidTr="00924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C81D92" w:rsidRDefault="00AD6C31" w:rsidP="00A64C79">
            <w:pPr>
              <w:rPr>
                <w:rFonts w:ascii="Verdana" w:hAnsi="Verdana"/>
                <w:szCs w:val="24"/>
                <w:lang w:val="en"/>
              </w:rPr>
            </w:pPr>
            <w:r w:rsidRPr="00C81D92">
              <w:rPr>
                <w:rFonts w:ascii="Verdana" w:hAnsi="Verdana"/>
                <w:szCs w:val="24"/>
                <w:lang w:val="en"/>
              </w:rPr>
              <w:t xml:space="preserve">Para saber </w:t>
            </w:r>
            <w:proofErr w:type="spellStart"/>
            <w:r w:rsidRPr="00C81D92">
              <w:rPr>
                <w:rFonts w:ascii="Verdana" w:hAnsi="Verdana"/>
                <w:szCs w:val="24"/>
                <w:lang w:val="en"/>
              </w:rPr>
              <w:t>más</w:t>
            </w:r>
            <w:proofErr w:type="spellEnd"/>
            <w:r w:rsidRPr="00C81D92">
              <w:rPr>
                <w:rFonts w:ascii="Verdana" w:hAnsi="Verdana"/>
                <w:szCs w:val="24"/>
                <w:lang w:val="en"/>
              </w:rPr>
              <w:t>…</w:t>
            </w:r>
          </w:p>
        </w:tc>
        <w:tc>
          <w:tcPr>
            <w:tcW w:w="3949" w:type="pct"/>
            <w:gridSpan w:val="5"/>
          </w:tcPr>
          <w:p w:rsidR="00B21A4E" w:rsidRPr="00B21A4E" w:rsidRDefault="00B21A4E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9" w:history="1">
              <w:r w:rsidRPr="00B21A4E">
                <w:rPr>
                  <w:rStyle w:val="Hipervnculo"/>
                  <w:rFonts w:ascii="Verdana" w:hAnsi="Verdana"/>
                  <w:sz w:val="16"/>
                </w:rPr>
                <w:t>http://www.shanghairanking.com/ARWU2018.html</w:t>
              </w:r>
            </w:hyperlink>
          </w:p>
          <w:p w:rsidR="00B21A4E" w:rsidRPr="00B21A4E" w:rsidRDefault="00B21A4E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0" w:anchor="!/page/0/length/25/locations/PH/sort_by/rank/sort_order/asc/cols/stats" w:history="1">
              <w:r w:rsidRPr="00B21A4E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https://www.timeshighereducation.com/world-university-rankings/2019/world-ranking#!/page/0/length/25/locations/PH/sort_by/rank/sort_order/asc/cols/stats</w:t>
              </w:r>
            </w:hyperlink>
          </w:p>
          <w:p w:rsidR="00B21A4E" w:rsidRPr="00B21A4E" w:rsidRDefault="00B21A4E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1" w:history="1">
              <w:r w:rsidRPr="00B21A4E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B21A4E" w:rsidRPr="00B21A4E" w:rsidRDefault="00B21A4E" w:rsidP="00B21A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Pr="00B21A4E">
                <w:rPr>
                  <w:rStyle w:val="Hipervnculo"/>
                  <w:rFonts w:ascii="Verdana" w:hAnsi="Verdana"/>
                  <w:sz w:val="16"/>
                </w:rPr>
                <w:t>https://www.topuniversities.com/university-rankings/asian-university-rankings/2019</w:t>
              </w:r>
            </w:hyperlink>
            <w:bookmarkStart w:id="0" w:name="_GoBack"/>
            <w:bookmarkEnd w:id="0"/>
          </w:p>
        </w:tc>
      </w:tr>
    </w:tbl>
    <w:p w:rsidR="00A84BD9" w:rsidRPr="00A85F97" w:rsidRDefault="00A84BD9" w:rsidP="00AC7449"/>
    <w:sectPr w:rsidR="00A84BD9" w:rsidRPr="00A85F97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79" w:rsidRDefault="00FD6879" w:rsidP="0091126F">
      <w:pPr>
        <w:spacing w:after="0" w:line="240" w:lineRule="auto"/>
      </w:pPr>
      <w:r>
        <w:separator/>
      </w:r>
    </w:p>
  </w:endnote>
  <w:endnote w:type="continuationSeparator" w:id="0">
    <w:p w:rsidR="00FD6879" w:rsidRDefault="00FD6879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B21A4E" w:rsidRPr="00B21A4E" w:rsidRDefault="001042DA" w:rsidP="00B21A4E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b/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 w:rsidR="00B21A4E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79" w:rsidRDefault="00FD6879" w:rsidP="0091126F">
      <w:pPr>
        <w:spacing w:after="0" w:line="240" w:lineRule="auto"/>
      </w:pPr>
      <w:r>
        <w:separator/>
      </w:r>
    </w:p>
  </w:footnote>
  <w:footnote w:type="continuationSeparator" w:id="0">
    <w:p w:rsidR="00FD6879" w:rsidRDefault="00FD6879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ED454E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464BA38" wp14:editId="4748AA32">
          <wp:simplePos x="0" y="0"/>
          <wp:positionH relativeFrom="margin">
            <wp:posOffset>-476250</wp:posOffset>
          </wp:positionH>
          <wp:positionV relativeFrom="margin">
            <wp:posOffset>-638175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963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06000C06" wp14:editId="4AD9E64B">
          <wp:simplePos x="0" y="0"/>
          <wp:positionH relativeFrom="column">
            <wp:posOffset>2455545</wp:posOffset>
          </wp:positionH>
          <wp:positionV relativeFrom="paragraph">
            <wp:posOffset>-29845</wp:posOffset>
          </wp:positionV>
          <wp:extent cx="1108710" cy="554355"/>
          <wp:effectExtent l="171450" t="171450" r="377190" b="360045"/>
          <wp:wrapTight wrapText="bothSides">
            <wp:wrapPolygon edited="0">
              <wp:start x="4082" y="-6680"/>
              <wp:lineTo x="-3340" y="-5196"/>
              <wp:lineTo x="-3340" y="24495"/>
              <wp:lineTo x="-1113" y="30433"/>
              <wp:lineTo x="1856" y="33402"/>
              <wp:lineTo x="2227" y="34887"/>
              <wp:lineTo x="23010" y="34887"/>
              <wp:lineTo x="23381" y="33402"/>
              <wp:lineTo x="25979" y="30433"/>
              <wp:lineTo x="28206" y="19299"/>
              <wp:lineTo x="28577" y="2969"/>
              <wp:lineTo x="23381" y="-5196"/>
              <wp:lineTo x="21155" y="-6680"/>
              <wp:lineTo x="4082" y="-668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5543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995">
      <w:rPr>
        <w:sz w:val="56"/>
        <w:szCs w:val="56"/>
      </w:rPr>
      <w:t>FILIPINAS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407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7E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7C4"/>
    <w:multiLevelType w:val="hybridMultilevel"/>
    <w:tmpl w:val="363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F5E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1425D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10EF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58CB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3F6D"/>
    <w:multiLevelType w:val="hybridMultilevel"/>
    <w:tmpl w:val="93162F3C"/>
    <w:lvl w:ilvl="0" w:tplc="C4BAA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35633"/>
    <w:multiLevelType w:val="hybridMultilevel"/>
    <w:tmpl w:val="79FE801E"/>
    <w:lvl w:ilvl="0" w:tplc="906CE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4D98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34933"/>
    <w:rsid w:val="0008088D"/>
    <w:rsid w:val="00090B66"/>
    <w:rsid w:val="000914A5"/>
    <w:rsid w:val="001042DA"/>
    <w:rsid w:val="001544C7"/>
    <w:rsid w:val="001657B1"/>
    <w:rsid w:val="001664EF"/>
    <w:rsid w:val="001732BE"/>
    <w:rsid w:val="00173D41"/>
    <w:rsid w:val="001816BF"/>
    <w:rsid w:val="001B1CC4"/>
    <w:rsid w:val="001B5731"/>
    <w:rsid w:val="001C134F"/>
    <w:rsid w:val="001C7CE8"/>
    <w:rsid w:val="002003E0"/>
    <w:rsid w:val="00210A54"/>
    <w:rsid w:val="00223104"/>
    <w:rsid w:val="00240963"/>
    <w:rsid w:val="002433FB"/>
    <w:rsid w:val="002B140F"/>
    <w:rsid w:val="00302B8E"/>
    <w:rsid w:val="00302E31"/>
    <w:rsid w:val="003053DF"/>
    <w:rsid w:val="0031785B"/>
    <w:rsid w:val="0035629D"/>
    <w:rsid w:val="00384321"/>
    <w:rsid w:val="00390BB5"/>
    <w:rsid w:val="0039163E"/>
    <w:rsid w:val="003A7FA4"/>
    <w:rsid w:val="003B667C"/>
    <w:rsid w:val="003B74AB"/>
    <w:rsid w:val="003C513C"/>
    <w:rsid w:val="003C69AF"/>
    <w:rsid w:val="003E17B2"/>
    <w:rsid w:val="003F2DBD"/>
    <w:rsid w:val="00415CDD"/>
    <w:rsid w:val="00423DB4"/>
    <w:rsid w:val="00427C8F"/>
    <w:rsid w:val="00464492"/>
    <w:rsid w:val="004923D1"/>
    <w:rsid w:val="004B40CB"/>
    <w:rsid w:val="004B6D70"/>
    <w:rsid w:val="004D5F00"/>
    <w:rsid w:val="004E6C33"/>
    <w:rsid w:val="004F6995"/>
    <w:rsid w:val="00570CE7"/>
    <w:rsid w:val="00581FC9"/>
    <w:rsid w:val="005B3E62"/>
    <w:rsid w:val="005C440E"/>
    <w:rsid w:val="005D79A7"/>
    <w:rsid w:val="005F4F36"/>
    <w:rsid w:val="00617E70"/>
    <w:rsid w:val="00623674"/>
    <w:rsid w:val="0063590D"/>
    <w:rsid w:val="006D3DDF"/>
    <w:rsid w:val="006F729E"/>
    <w:rsid w:val="007058BD"/>
    <w:rsid w:val="00705AC0"/>
    <w:rsid w:val="007257BD"/>
    <w:rsid w:val="0073298C"/>
    <w:rsid w:val="00744F62"/>
    <w:rsid w:val="007722F2"/>
    <w:rsid w:val="007B55A1"/>
    <w:rsid w:val="007C254F"/>
    <w:rsid w:val="007F16EE"/>
    <w:rsid w:val="007F79E5"/>
    <w:rsid w:val="0083178C"/>
    <w:rsid w:val="008450AE"/>
    <w:rsid w:val="00867DB6"/>
    <w:rsid w:val="00882268"/>
    <w:rsid w:val="00902D52"/>
    <w:rsid w:val="00910BA5"/>
    <w:rsid w:val="0091126F"/>
    <w:rsid w:val="009177CA"/>
    <w:rsid w:val="00924D14"/>
    <w:rsid w:val="00933394"/>
    <w:rsid w:val="00935D16"/>
    <w:rsid w:val="009429BC"/>
    <w:rsid w:val="00944781"/>
    <w:rsid w:val="00947F8C"/>
    <w:rsid w:val="009924D6"/>
    <w:rsid w:val="009928ED"/>
    <w:rsid w:val="009A0851"/>
    <w:rsid w:val="009C0BBA"/>
    <w:rsid w:val="00A32553"/>
    <w:rsid w:val="00A47274"/>
    <w:rsid w:val="00A515F8"/>
    <w:rsid w:val="00A53624"/>
    <w:rsid w:val="00A64C79"/>
    <w:rsid w:val="00A84BD9"/>
    <w:rsid w:val="00A85F97"/>
    <w:rsid w:val="00AA35F7"/>
    <w:rsid w:val="00AA362D"/>
    <w:rsid w:val="00AC7449"/>
    <w:rsid w:val="00AD6C31"/>
    <w:rsid w:val="00AD7768"/>
    <w:rsid w:val="00B21A4E"/>
    <w:rsid w:val="00B95657"/>
    <w:rsid w:val="00BA0796"/>
    <w:rsid w:val="00BA137E"/>
    <w:rsid w:val="00BD4FEA"/>
    <w:rsid w:val="00BE4B07"/>
    <w:rsid w:val="00C00108"/>
    <w:rsid w:val="00C37AED"/>
    <w:rsid w:val="00C60E09"/>
    <w:rsid w:val="00C81D92"/>
    <w:rsid w:val="00C91ADE"/>
    <w:rsid w:val="00CB038B"/>
    <w:rsid w:val="00CD126C"/>
    <w:rsid w:val="00CF60F5"/>
    <w:rsid w:val="00D54911"/>
    <w:rsid w:val="00D642CA"/>
    <w:rsid w:val="00D850D6"/>
    <w:rsid w:val="00D94BBA"/>
    <w:rsid w:val="00DD0437"/>
    <w:rsid w:val="00DE2A40"/>
    <w:rsid w:val="00DF1C93"/>
    <w:rsid w:val="00E06A9A"/>
    <w:rsid w:val="00E12303"/>
    <w:rsid w:val="00E1516B"/>
    <w:rsid w:val="00E2698D"/>
    <w:rsid w:val="00E30B88"/>
    <w:rsid w:val="00E34758"/>
    <w:rsid w:val="00E90875"/>
    <w:rsid w:val="00E93EC0"/>
    <w:rsid w:val="00EA1C57"/>
    <w:rsid w:val="00ED454E"/>
    <w:rsid w:val="00F131C9"/>
    <w:rsid w:val="00F243EB"/>
    <w:rsid w:val="00F4331F"/>
    <w:rsid w:val="00F56F38"/>
    <w:rsid w:val="00F619E8"/>
    <w:rsid w:val="00F8701D"/>
    <w:rsid w:val="00F90FB3"/>
    <w:rsid w:val="00F9359A"/>
    <w:rsid w:val="00FD44DD"/>
    <w:rsid w:val="00FD47F3"/>
    <w:rsid w:val="00FD6879"/>
    <w:rsid w:val="00FE0232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18A2B6-4D68-4979-B500-31F36A8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si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19/world-ra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F2A6-3AD5-4678-A357-2D041BE3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11</cp:revision>
  <dcterms:created xsi:type="dcterms:W3CDTF">2012-02-11T15:38:00Z</dcterms:created>
  <dcterms:modified xsi:type="dcterms:W3CDTF">2019-11-04T12:17:00Z</dcterms:modified>
</cp:coreProperties>
</file>